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9793 records from NA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10671 plots and 1533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32921 records (68.8%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(18.7%).</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NA records (NA%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NA%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(n=NA% of total database), or geographic coordinates (n=NA% of total database).</w:t>
      </w:r>
      <w:r>
        <w:t xml:space="preserve"> </w:t>
      </w:r>
      <w:r>
        <w:t xml:space="preserve">In total, our analysis retained NA of the focal variable records for forests of known age.</w:t>
      </w:r>
      <w:r>
        <w:t xml:space="preserve"> </w:t>
      </w:r>
      <w:r>
        <w:t xml:space="preserve">The most well-represented forest types excluded were boreal broadleaf (NA records) and boreal and temperate mixed broadleaf-needleleaf (NA and NA records, respectively).</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records in ForC v.#, 9793 met the criteria for inclusion in this study (Fig. 1).</w:t>
      </w:r>
      <w:r>
        <w:t xml:space="preserve"> </w:t>
      </w:r>
      <w:r>
        <w:t xml:space="preserve">These records were distributed across NA plots in NA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2020-09-24T12:15:59Z</dcterms:created>
  <dcterms:modified xsi:type="dcterms:W3CDTF">2020-09-24T12:15:59Z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